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8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中国(厦门)国际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电子信息及光电产业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jc w:val="both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China(Xianmen)International Electronic Information and Optoelectronic Industry Exhibition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时间:2021年9月17日-19日   地点:厦门国际会展中心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209"/>
        </w:tabs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 xml:space="preserve">关于展会 </w:t>
      </w:r>
      <w:r>
        <w:rPr>
          <w:rFonts w:asciiTheme="minorEastAsia" w:hAnsiTheme="minorEastAsia"/>
          <w:b/>
          <w:sz w:val="24"/>
          <w:szCs w:val="24"/>
        </w:rPr>
        <w:tab/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电子信息产业是国</w:t>
      </w:r>
      <w:r>
        <w:rPr>
          <w:rFonts w:hint="eastAsia" w:asciiTheme="minorEastAsia" w:hAnsiTheme="minorEastAsia"/>
          <w:sz w:val="24"/>
          <w:szCs w:val="24"/>
          <w:lang w:eastAsia="zh-CN"/>
        </w:rPr>
        <w:t>家</w:t>
      </w:r>
      <w:r>
        <w:rPr>
          <w:rFonts w:hint="eastAsia" w:asciiTheme="minorEastAsia" w:hAnsiTheme="minorEastAsia"/>
          <w:sz w:val="24"/>
          <w:szCs w:val="24"/>
        </w:rPr>
        <w:t>经济建设和社会发展的重要产业，其所代表的并不仅是一种技术，而是一种时代背景变更下技术的变革。中国是电子信息产业的发展主力军，电子信息产业正在给中国的经济体制转型带来新的动力。</w:t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直以来，电子信息产业和光电产业都是福省建重点新战产业，以“着力电子信息制造业‘增芯强屏’和终端产品创新，聚焦加快集成电路产业集聚、构筑新型显示产业链、加快计算机与信息通信产业升级、壮大半导体照明产业、打造锂电池千亿产业集群等五大任务”，力争做强做优做大电子信息制造业为目标，经过多年发展，福建省电子信息与光电产业规模持续壮大，电子信息产业规模超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万</w:t>
      </w:r>
      <w:r>
        <w:rPr>
          <w:rFonts w:hint="eastAsia" w:asciiTheme="minorEastAsia" w:hAnsiTheme="minorEastAsia"/>
          <w:sz w:val="24"/>
          <w:szCs w:val="24"/>
          <w:lang w:eastAsia="zh-CN"/>
        </w:rPr>
        <w:t>亿元大关。光电产业形成了以平板显示产业为龙头，以半导体照明、太阳能光伏、光通信及精密光学器件等产业为重要组成部分，以材料、配套产业为支撑的发展格局，总产值逾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/>
          <w:sz w:val="24"/>
          <w:szCs w:val="24"/>
          <w:lang w:eastAsia="zh-CN"/>
        </w:rPr>
        <w:t>00亿元，产业生态更加完善，产业规模与创新能力走在全国前列。</w:t>
      </w:r>
    </w:p>
    <w:p>
      <w:pPr>
        <w:spacing w:line="360" w:lineRule="auto"/>
        <w:ind w:firstLine="480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为助推产业发展，促进产学研深度融合和科技成果产业化，“中国(厦门)国际电子信息及光电产业展览会”将以打造“</w:t>
      </w:r>
      <w:r>
        <w:rPr>
          <w:rFonts w:hint="eastAsia" w:asciiTheme="minorEastAsia" w:hAnsiTheme="minorEastAsia"/>
          <w:sz w:val="24"/>
          <w:szCs w:val="24"/>
          <w:lang w:eastAsia="zh-CN"/>
        </w:rPr>
        <w:t>创新引领发展，信息驱动未来</w:t>
      </w:r>
      <w:r>
        <w:rPr>
          <w:rFonts w:hint="eastAsia" w:asciiTheme="minorEastAsia" w:hAnsiTheme="minorEastAsia"/>
          <w:sz w:val="24"/>
          <w:szCs w:val="24"/>
        </w:rPr>
        <w:t>”为主题，立足厦门、辐射全国，旨在集中展示</w:t>
      </w:r>
      <w:r>
        <w:rPr>
          <w:rFonts w:hint="eastAsia" w:asciiTheme="minorEastAsia" w:hAnsiTheme="minorEastAsia"/>
          <w:sz w:val="24"/>
          <w:szCs w:val="24"/>
          <w:lang w:eastAsia="zh-CN"/>
        </w:rPr>
        <w:t>光电产业及电子信息技术产品</w:t>
      </w:r>
      <w:r>
        <w:rPr>
          <w:rFonts w:hint="eastAsia" w:asciiTheme="minorEastAsia" w:hAnsiTheme="minorEastAsia"/>
          <w:sz w:val="24"/>
          <w:szCs w:val="24"/>
        </w:rPr>
        <w:t>发展成果，抓住推进制造业智能化升级和新兴产业发展的机遇，推动智能经济加速</w:t>
      </w:r>
      <w:r>
        <w:rPr>
          <w:rFonts w:hint="eastAsia" w:asciiTheme="minorEastAsia" w:hAnsi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/>
          <w:sz w:val="24"/>
          <w:szCs w:val="24"/>
        </w:rPr>
        <w:t>产业升级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打造华东</w:t>
      </w:r>
      <w:r>
        <w:rPr>
          <w:rFonts w:hint="eastAsia" w:asciiTheme="minorEastAsia" w:hAnsiTheme="minorEastAsia"/>
          <w:sz w:val="24"/>
          <w:szCs w:val="24"/>
          <w:lang w:eastAsia="zh-CN"/>
        </w:rPr>
        <w:t>光电产业及电子信息</w:t>
      </w:r>
      <w:r>
        <w:rPr>
          <w:rFonts w:hint="eastAsia" w:asciiTheme="minorEastAsia" w:hAnsiTheme="minorEastAsia"/>
          <w:sz w:val="24"/>
          <w:szCs w:val="24"/>
        </w:rPr>
        <w:t>产业交流与贸易平台。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展会主题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创新引领发展，信息驱动未来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 xml:space="preserve">组织机构 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指导单位：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福建省工业和信息化厅           福建省商务厅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中国光学光电子行业协会         光谷光电信息产业联盟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支持单位：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中国电子学会                  厦门市光电半导体行业协会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福建省电子学会                 厦门市集成电路行业协会         </w:t>
      </w:r>
    </w:p>
    <w:p>
      <w:pPr>
        <w:tabs>
          <w:tab w:val="left" w:pos="3360"/>
        </w:tabs>
        <w:spacing w:line="360" w:lineRule="auto"/>
        <w:ind w:firstLine="480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厦门市电子信息产业商会         厦门市科技服务行业协会 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主办机构：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电气和电子工程师协会（IEEE）   国际电子科学与信息技术协会(IAESIT)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福建省智慧城市协会             北京双子座展览有限公司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承办单位：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北诚（北京）国际展览有限公司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b/>
          <w:sz w:val="24"/>
          <w:szCs w:val="24"/>
        </w:rPr>
        <w:t>时间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安排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日报到</w:t>
      </w:r>
      <w:r>
        <w:rPr>
          <w:rFonts w:hint="eastAsia" w:asciiTheme="minorEastAsia" w:hAnsiTheme="minorEastAsia"/>
          <w:sz w:val="24"/>
          <w:szCs w:val="24"/>
          <w:lang w:eastAsia="zh-CN"/>
        </w:rPr>
        <w:t>布展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2021年9月1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日-1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eastAsia="zh-CN"/>
        </w:rPr>
        <w:t>会议</w:t>
      </w:r>
      <w:r>
        <w:rPr>
          <w:rFonts w:hint="eastAsia" w:asciiTheme="minorEastAsia" w:hAnsiTheme="minorEastAsia"/>
          <w:sz w:val="24"/>
          <w:szCs w:val="24"/>
        </w:rPr>
        <w:t>展览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地点:</w:t>
      </w:r>
      <w:r>
        <w:rPr>
          <w:rFonts w:hint="eastAsia" w:asciiTheme="minorEastAsia" w:hAnsiTheme="minorEastAsia"/>
          <w:sz w:val="24"/>
          <w:szCs w:val="24"/>
          <w:lang w:eastAsia="zh-CN"/>
        </w:rPr>
        <w:t>厦门国际会展</w:t>
      </w:r>
      <w:r>
        <w:rPr>
          <w:rFonts w:hint="eastAsia" w:asciiTheme="minorEastAsia" w:hAnsiTheme="minorEastAsia"/>
          <w:sz w:val="24"/>
          <w:szCs w:val="24"/>
        </w:rPr>
        <w:t>中心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五、展示主题（展品范围）：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1.光电产业：(光电元器件、光电显示、光输入/输出、光存储、光通信、激光、光伏发电、半导体照明、光电周边产品--光电产品专用制造设备等)。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平板显示、触摸屏及制造技术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半导体照明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光通信设备及光纤光缆、光纤传感器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精密光学器件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太阳能光伏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光测试仪器仪表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数据中心，云计算及大数据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|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5G与新基建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光电产品专用制造设备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材料与配套产业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|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红外设备、材料与器件|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2.电子信息：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新型显示|计算机与通讯设备|半导体和集成电路|智慧城市、智能生活与智能家居|智能制造、智能硬件与3D打印|大数据存储与网络安全|软件应用和信息服务业|消费类电子产品|智能驾驶汽车技术|基础电子|数字娱乐与增强现实及机器人|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六、同期活动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光电产业（厦门）发展高峰论坛       光电创新（厦门）大会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台海电子信息产业发展论坛           电子信息技术领域研讨会系列    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Times New Roman"/>
          <w:b/>
          <w:sz w:val="24"/>
          <w:szCs w:val="24"/>
        </w:rPr>
        <w:t>展位收费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（108平米以上赠送会刊140*210mm版内彩页）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left="479" w:leftChars="228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标准展位费：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（3m×3m）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国内企业9800元RMB／展位／展期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境外企业2800元USD／展位／展期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豪华标展费：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（3m×3m）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left="479" w:leftChars="228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豪华特标（3m×3m，含：内彩页，灯箱，Logo,洽谈桌椅)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国内企业11800元RMB／展位／展期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境外企业3000元USD／展位／展期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室内光地：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（面积不低于36平米起）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国内企业980元RMB／展位／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境外企业280元USD／展位／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 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left="479" w:leftChars="228" w:firstLine="0" w:firstLineChars="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费用说明：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标准展位费用包括展出场地、2.5m高壁板、楣牌制作、9平方米地毯、洽谈桌一张、二把椅子、220v电源插座一个、日光灯二支；（双开口加收20%开口费）；光地费用包括：展出场地、保安、清洁服务。请认真选择适合您的展示类别。</w:t>
      </w:r>
    </w:p>
    <w:p>
      <w:pPr>
        <w:spacing w:line="50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八、</w:t>
      </w:r>
      <w:r>
        <w:rPr>
          <w:rFonts w:hint="eastAsia" w:asciiTheme="minorEastAsia" w:hAnsiTheme="minorEastAsia"/>
          <w:b/>
          <w:sz w:val="24"/>
          <w:szCs w:val="24"/>
        </w:rPr>
        <w:t>协办赞助：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组委会为了使企业参展效果最大化，赞助企业实现市场发展战略之目的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Times New Roman"/>
          <w:sz w:val="24"/>
          <w:szCs w:val="24"/>
        </w:rPr>
        <w:t>特制定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A、B、C</w:t>
      </w:r>
      <w:r>
        <w:rPr>
          <w:rFonts w:hint="eastAsia" w:ascii="宋体" w:hAnsi="宋体" w:eastAsia="宋体" w:cs="Times New Roman"/>
          <w:sz w:val="24"/>
          <w:szCs w:val="24"/>
        </w:rPr>
        <w:t>三种不同赞助方案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Times New Roman"/>
          <w:sz w:val="24"/>
          <w:szCs w:val="24"/>
        </w:rPr>
        <w:t>详情备索!</w:t>
      </w:r>
    </w:p>
    <w:p>
      <w:pPr>
        <w:spacing w:line="52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九、</w:t>
      </w:r>
      <w:r>
        <w:rPr>
          <w:rFonts w:hint="eastAsia" w:asciiTheme="minorEastAsia" w:hAnsiTheme="minorEastAsia"/>
          <w:b/>
          <w:sz w:val="24"/>
          <w:szCs w:val="24"/>
        </w:rPr>
        <w:t>参展流程：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1、展位安排原则：“先申请、先付款、先安排”。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2、为使本届展会整体安排更趋合理化、国际化请认真填写《参展申请及合约书》表并加盖公章传真或邮寄至大会组委会；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3、参展单位报名后须在三个有效工作日内支付50％参展费用定金，否则大会组委会有权调整或取消其所定展位，余款应与202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sz w:val="24"/>
          <w:szCs w:val="24"/>
        </w:rPr>
        <w:t>日前付清；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4、未经大会组委会同意，参展企业单方面取消参展计划，其已付参展费用不予退还；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5、未经组委会同意参展企业不得转让展位，否则大会组委会有权取消其参展资格；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 注：为保证展会整体形象，大会组委会有权保留或更改部分参展商展位的权力。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组委会联系方式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北诚（北京）国际展览有限公司 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张有发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17600956207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524660403@qq.com</w:t>
      </w:r>
    </w:p>
    <w:p>
      <w:pPr>
        <w:spacing w:line="360" w:lineRule="auto"/>
        <w:rPr>
          <w:rFonts w:hint="default" w:ascii="微软雅黑" w:hAnsi="微软雅黑" w:eastAsiaTheme="minorEastAsia"/>
          <w:color w:val="666666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微信：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f17600956207</w:t>
      </w:r>
      <w:bookmarkStart w:id="0" w:name="_GoBack"/>
      <w:bookmarkEnd w:id="0"/>
    </w:p>
    <w:sectPr>
      <w:head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b/>
        <w:color w:val="FF0000"/>
      </w:rPr>
    </w:pPr>
    <w:r>
      <w:rPr>
        <w:rFonts w:hint="eastAsia" w:ascii="微软雅黑" w:hAnsi="微软雅黑" w:eastAsia="微软雅黑"/>
        <w:b/>
        <w:color w:val="FF0000"/>
      </w:rPr>
      <w:t>中国(厦门)国际电子信息及光电产业展览会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385"/>
    <w:rsid w:val="00046979"/>
    <w:rsid w:val="00051051"/>
    <w:rsid w:val="000879BE"/>
    <w:rsid w:val="000D0385"/>
    <w:rsid w:val="001514F4"/>
    <w:rsid w:val="001A6055"/>
    <w:rsid w:val="001C1A27"/>
    <w:rsid w:val="00226334"/>
    <w:rsid w:val="00247390"/>
    <w:rsid w:val="00250019"/>
    <w:rsid w:val="0027628E"/>
    <w:rsid w:val="002A7BDB"/>
    <w:rsid w:val="002D438B"/>
    <w:rsid w:val="002E6BE0"/>
    <w:rsid w:val="0035728A"/>
    <w:rsid w:val="003C4286"/>
    <w:rsid w:val="003F6E27"/>
    <w:rsid w:val="0043026B"/>
    <w:rsid w:val="00456DE3"/>
    <w:rsid w:val="0047034A"/>
    <w:rsid w:val="00533706"/>
    <w:rsid w:val="00534EE6"/>
    <w:rsid w:val="00544E02"/>
    <w:rsid w:val="005835EC"/>
    <w:rsid w:val="005C31C0"/>
    <w:rsid w:val="0061096A"/>
    <w:rsid w:val="00636329"/>
    <w:rsid w:val="00650CCC"/>
    <w:rsid w:val="006768A7"/>
    <w:rsid w:val="006B26CD"/>
    <w:rsid w:val="006F0043"/>
    <w:rsid w:val="0072026D"/>
    <w:rsid w:val="00796813"/>
    <w:rsid w:val="007A3EAB"/>
    <w:rsid w:val="007E73B1"/>
    <w:rsid w:val="00830EBC"/>
    <w:rsid w:val="008B1D0B"/>
    <w:rsid w:val="008C3A7C"/>
    <w:rsid w:val="008E4BDF"/>
    <w:rsid w:val="008F07CC"/>
    <w:rsid w:val="00902D90"/>
    <w:rsid w:val="00933695"/>
    <w:rsid w:val="00984EFC"/>
    <w:rsid w:val="009D41D7"/>
    <w:rsid w:val="00A0692B"/>
    <w:rsid w:val="00A71EC7"/>
    <w:rsid w:val="00A9193E"/>
    <w:rsid w:val="00B06475"/>
    <w:rsid w:val="00B32234"/>
    <w:rsid w:val="00B5550B"/>
    <w:rsid w:val="00BF7B74"/>
    <w:rsid w:val="00C46DD8"/>
    <w:rsid w:val="00C6271D"/>
    <w:rsid w:val="00CB2CE9"/>
    <w:rsid w:val="00CD0BD0"/>
    <w:rsid w:val="00D430E2"/>
    <w:rsid w:val="00D909DB"/>
    <w:rsid w:val="00DE35DB"/>
    <w:rsid w:val="00E35324"/>
    <w:rsid w:val="00E35669"/>
    <w:rsid w:val="00EC791C"/>
    <w:rsid w:val="00F12110"/>
    <w:rsid w:val="00F253C0"/>
    <w:rsid w:val="00F265D9"/>
    <w:rsid w:val="00F47201"/>
    <w:rsid w:val="00F64124"/>
    <w:rsid w:val="00FB294A"/>
    <w:rsid w:val="05465994"/>
    <w:rsid w:val="061A56EF"/>
    <w:rsid w:val="08287B16"/>
    <w:rsid w:val="088637C7"/>
    <w:rsid w:val="092323A3"/>
    <w:rsid w:val="0A5A0AE4"/>
    <w:rsid w:val="0A66185D"/>
    <w:rsid w:val="0B9A2A84"/>
    <w:rsid w:val="0BF319C7"/>
    <w:rsid w:val="0C0E680D"/>
    <w:rsid w:val="0CB433C1"/>
    <w:rsid w:val="0F244431"/>
    <w:rsid w:val="161F4800"/>
    <w:rsid w:val="16281CFE"/>
    <w:rsid w:val="183C25F7"/>
    <w:rsid w:val="1DAB71EA"/>
    <w:rsid w:val="1DE81F0E"/>
    <w:rsid w:val="1E6859D3"/>
    <w:rsid w:val="1E9A4B33"/>
    <w:rsid w:val="1F9569CE"/>
    <w:rsid w:val="205804A4"/>
    <w:rsid w:val="220C2672"/>
    <w:rsid w:val="24920A02"/>
    <w:rsid w:val="257D3044"/>
    <w:rsid w:val="27B96283"/>
    <w:rsid w:val="2A033741"/>
    <w:rsid w:val="2AE5180B"/>
    <w:rsid w:val="2DE509CE"/>
    <w:rsid w:val="319A0A7C"/>
    <w:rsid w:val="3467333E"/>
    <w:rsid w:val="363E1BBF"/>
    <w:rsid w:val="379B016E"/>
    <w:rsid w:val="3AEB65D1"/>
    <w:rsid w:val="409F214B"/>
    <w:rsid w:val="44C30BA5"/>
    <w:rsid w:val="491C75AB"/>
    <w:rsid w:val="4ADE50B4"/>
    <w:rsid w:val="4D49551C"/>
    <w:rsid w:val="4D847F3B"/>
    <w:rsid w:val="4DB42FD7"/>
    <w:rsid w:val="4F225B64"/>
    <w:rsid w:val="51351663"/>
    <w:rsid w:val="535256B9"/>
    <w:rsid w:val="552352EC"/>
    <w:rsid w:val="56747BA4"/>
    <w:rsid w:val="56754C00"/>
    <w:rsid w:val="5A4A306A"/>
    <w:rsid w:val="5A815812"/>
    <w:rsid w:val="5DD70B63"/>
    <w:rsid w:val="5E8045BB"/>
    <w:rsid w:val="638E401A"/>
    <w:rsid w:val="643E7C96"/>
    <w:rsid w:val="649779F0"/>
    <w:rsid w:val="660C325A"/>
    <w:rsid w:val="6C621D71"/>
    <w:rsid w:val="6EEA53CF"/>
    <w:rsid w:val="6F97393E"/>
    <w:rsid w:val="708872AE"/>
    <w:rsid w:val="731B65DD"/>
    <w:rsid w:val="74CB38DE"/>
    <w:rsid w:val="7D030D0A"/>
    <w:rsid w:val="7D442BF7"/>
    <w:rsid w:val="7D4E4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1"/>
    <w:link w:val="6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484</Words>
  <Characters>2759</Characters>
  <Lines>22</Lines>
  <Paragraphs>6</Paragraphs>
  <TotalTime>0</TotalTime>
  <ScaleCrop>false</ScaleCrop>
  <LinksUpToDate>false</LinksUpToDate>
  <CharactersWithSpaces>3237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2019-09-27T01:11:00Z</dcterms:created>
  <dc:creator>PC</dc:creator>
  <cp:lastModifiedBy>Administrator</cp:lastModifiedBy>
  <dcterms:modified xsi:type="dcterms:W3CDTF">2021-01-12T01:05:52Z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